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AA51" w14:textId="77777777" w:rsidR="000624D5" w:rsidRDefault="000624D5" w:rsidP="00A666F6">
      <w:pPr>
        <w:tabs>
          <w:tab w:val="num" w:pos="720"/>
        </w:tabs>
        <w:ind w:left="720" w:hanging="360"/>
      </w:pPr>
    </w:p>
    <w:p w14:paraId="0DF0B5E1" w14:textId="77777777" w:rsidR="00A666F6" w:rsidRDefault="00A666F6" w:rsidP="00A666F6">
      <w:pPr>
        <w:numPr>
          <w:ilvl w:val="0"/>
          <w:numId w:val="1"/>
        </w:numPr>
      </w:pPr>
      <w:r w:rsidRPr="00A666F6">
        <w:t>Who is the current incumbent vendor providing these services?</w:t>
      </w:r>
    </w:p>
    <w:p w14:paraId="55921366" w14:textId="474CABD8" w:rsidR="00A666F6" w:rsidRPr="00C8247C" w:rsidRDefault="00A666F6" w:rsidP="00A666F6">
      <w:pPr>
        <w:ind w:left="720"/>
        <w:rPr>
          <w:b/>
          <w:bCs/>
        </w:rPr>
      </w:pPr>
      <w:r w:rsidRPr="00C8247C">
        <w:rPr>
          <w:b/>
          <w:bCs/>
        </w:rPr>
        <w:t>Managed Medical R</w:t>
      </w:r>
      <w:r w:rsidR="003A0348">
        <w:rPr>
          <w:b/>
          <w:bCs/>
        </w:rPr>
        <w:t xml:space="preserve">eview </w:t>
      </w:r>
      <w:r w:rsidRPr="00C8247C">
        <w:rPr>
          <w:b/>
          <w:bCs/>
        </w:rPr>
        <w:t>Organization</w:t>
      </w:r>
      <w:r w:rsidR="003A0348">
        <w:rPr>
          <w:b/>
          <w:bCs/>
        </w:rPr>
        <w:t>, Inc.</w:t>
      </w:r>
    </w:p>
    <w:p w14:paraId="667E31FB" w14:textId="77777777" w:rsidR="00A666F6" w:rsidRDefault="00A666F6" w:rsidP="00A666F6">
      <w:pPr>
        <w:numPr>
          <w:ilvl w:val="0"/>
          <w:numId w:val="1"/>
        </w:numPr>
      </w:pPr>
      <w:r w:rsidRPr="00A666F6">
        <w:t>What are the incumbent vendor’s current rates by service line and specialty, including:</w:t>
      </w:r>
    </w:p>
    <w:p w14:paraId="125061B3" w14:textId="77777777" w:rsidR="00A666F6" w:rsidRPr="00A666F6" w:rsidRDefault="00A666F6" w:rsidP="00A666F6">
      <w:pPr>
        <w:numPr>
          <w:ilvl w:val="1"/>
          <w:numId w:val="1"/>
        </w:numPr>
      </w:pPr>
      <w:r w:rsidRPr="00A666F6">
        <w:t>Document review rates</w:t>
      </w:r>
    </w:p>
    <w:p w14:paraId="30C0B8A4" w14:textId="77777777" w:rsidR="00A666F6" w:rsidRPr="00A666F6" w:rsidRDefault="00A666F6" w:rsidP="00A666F6">
      <w:pPr>
        <w:numPr>
          <w:ilvl w:val="1"/>
          <w:numId w:val="1"/>
        </w:numPr>
      </w:pPr>
      <w:r w:rsidRPr="00A666F6">
        <w:t>IME/IPE rates</w:t>
      </w:r>
    </w:p>
    <w:p w14:paraId="6C783049" w14:textId="77777777" w:rsidR="00A666F6" w:rsidRPr="00A666F6" w:rsidRDefault="00A666F6" w:rsidP="00A666F6">
      <w:pPr>
        <w:numPr>
          <w:ilvl w:val="1"/>
          <w:numId w:val="1"/>
        </w:numPr>
      </w:pPr>
      <w:r w:rsidRPr="00A666F6">
        <w:t>Expert testimony rates</w:t>
      </w:r>
    </w:p>
    <w:p w14:paraId="59E15003" w14:textId="77777777" w:rsidR="00A666F6" w:rsidRPr="00A666F6" w:rsidRDefault="00A666F6" w:rsidP="00A666F6">
      <w:pPr>
        <w:numPr>
          <w:ilvl w:val="1"/>
          <w:numId w:val="1"/>
        </w:numPr>
      </w:pPr>
      <w:r w:rsidRPr="00A666F6">
        <w:t>Consultative service rates</w:t>
      </w:r>
    </w:p>
    <w:p w14:paraId="33C767B8" w14:textId="77777777" w:rsidR="00A666F6" w:rsidRDefault="00A666F6" w:rsidP="00A666F6">
      <w:pPr>
        <w:numPr>
          <w:ilvl w:val="1"/>
          <w:numId w:val="1"/>
        </w:numPr>
      </w:pPr>
      <w:r w:rsidRPr="00A666F6">
        <w:t>Administrative fees, if any</w:t>
      </w:r>
    </w:p>
    <w:p w14:paraId="7B706ACC" w14:textId="4232C873" w:rsidR="003A0348" w:rsidRDefault="003A0348" w:rsidP="003A0348">
      <w:pPr>
        <w:ind w:left="720"/>
        <w:rPr>
          <w:b/>
          <w:bCs/>
        </w:rPr>
      </w:pPr>
      <w:r>
        <w:rPr>
          <w:b/>
          <w:bCs/>
        </w:rPr>
        <w:t>A Freedom of Information Act (FOIA)</w:t>
      </w:r>
      <w:r w:rsidR="006C47B8">
        <w:rPr>
          <w:b/>
          <w:bCs/>
        </w:rPr>
        <w:t xml:space="preserve"> </w:t>
      </w:r>
      <w:r>
        <w:rPr>
          <w:b/>
          <w:bCs/>
        </w:rPr>
        <w:t>request is required to disclose this information, please see link below:</w:t>
      </w:r>
    </w:p>
    <w:p w14:paraId="5C011A49" w14:textId="601AE44F" w:rsidR="003A0348" w:rsidRPr="003A0348" w:rsidRDefault="003A0348" w:rsidP="003A0348">
      <w:pPr>
        <w:ind w:left="720"/>
        <w:rPr>
          <w:b/>
          <w:bCs/>
        </w:rPr>
      </w:pPr>
      <w:hyperlink r:id="rId7" w:history="1">
        <w:r w:rsidRPr="008964B2">
          <w:rPr>
            <w:rStyle w:val="Hyperlink"/>
            <w:b/>
            <w:bCs/>
          </w:rPr>
          <w:t>Freedom of Information Act (FOIA) Information</w:t>
        </w:r>
      </w:hyperlink>
    </w:p>
    <w:p w14:paraId="05A70FF8" w14:textId="43FB37FD" w:rsidR="00EB3B46" w:rsidRPr="007A1FF0" w:rsidRDefault="00A666F6" w:rsidP="007A1FF0">
      <w:pPr>
        <w:numPr>
          <w:ilvl w:val="0"/>
          <w:numId w:val="1"/>
        </w:numPr>
      </w:pPr>
      <w:r w:rsidRPr="00A666F6">
        <w:t>Approximately how many cases are referred annually for:</w:t>
      </w:r>
    </w:p>
    <w:p w14:paraId="3025C9FF" w14:textId="77777777" w:rsidR="00A666F6" w:rsidRPr="00A666F6" w:rsidRDefault="00A666F6" w:rsidP="00A666F6">
      <w:pPr>
        <w:numPr>
          <w:ilvl w:val="1"/>
          <w:numId w:val="2"/>
        </w:numPr>
      </w:pPr>
      <w:r w:rsidRPr="00A666F6">
        <w:t>Medical document reviews</w:t>
      </w:r>
    </w:p>
    <w:p w14:paraId="34C31973" w14:textId="77777777" w:rsidR="00A666F6" w:rsidRPr="00A666F6" w:rsidRDefault="00A666F6" w:rsidP="00A666F6">
      <w:pPr>
        <w:numPr>
          <w:ilvl w:val="1"/>
          <w:numId w:val="2"/>
        </w:numPr>
      </w:pPr>
      <w:r w:rsidRPr="00A666F6">
        <w:t>Psychiatric document reviews</w:t>
      </w:r>
    </w:p>
    <w:p w14:paraId="3BB41423" w14:textId="77777777" w:rsidR="00A666F6" w:rsidRPr="00A666F6" w:rsidRDefault="00A666F6" w:rsidP="00A666F6">
      <w:pPr>
        <w:numPr>
          <w:ilvl w:val="1"/>
          <w:numId w:val="2"/>
        </w:numPr>
      </w:pPr>
      <w:r w:rsidRPr="00A666F6">
        <w:t>IMEs</w:t>
      </w:r>
    </w:p>
    <w:p w14:paraId="067567DF" w14:textId="77777777" w:rsidR="00A666F6" w:rsidRPr="00A666F6" w:rsidRDefault="00A666F6" w:rsidP="00A666F6">
      <w:pPr>
        <w:numPr>
          <w:ilvl w:val="1"/>
          <w:numId w:val="2"/>
        </w:numPr>
      </w:pPr>
      <w:r w:rsidRPr="00A666F6">
        <w:t>IPEs</w:t>
      </w:r>
    </w:p>
    <w:p w14:paraId="611E91BA" w14:textId="77777777" w:rsidR="00A666F6" w:rsidRDefault="00A666F6" w:rsidP="00A666F6">
      <w:pPr>
        <w:numPr>
          <w:ilvl w:val="1"/>
          <w:numId w:val="2"/>
        </w:numPr>
      </w:pPr>
      <w:r w:rsidRPr="00A666F6">
        <w:t>Expert testimony matters</w:t>
      </w:r>
    </w:p>
    <w:p w14:paraId="39E0D75F" w14:textId="63FE2368" w:rsidR="007A1FF0" w:rsidRPr="00C8247C" w:rsidRDefault="00817273" w:rsidP="007A1FF0">
      <w:pPr>
        <w:ind w:left="720"/>
        <w:rPr>
          <w:b/>
          <w:bCs/>
        </w:rPr>
      </w:pPr>
      <w:r>
        <w:rPr>
          <w:b/>
          <w:bCs/>
        </w:rPr>
        <w:t xml:space="preserve">While the first </w:t>
      </w:r>
      <w:r w:rsidR="006B5323">
        <w:rPr>
          <w:b/>
          <w:bCs/>
        </w:rPr>
        <w:t>three</w:t>
      </w:r>
      <w:r>
        <w:rPr>
          <w:b/>
          <w:bCs/>
        </w:rPr>
        <w:t xml:space="preserve"> years</w:t>
      </w:r>
      <w:r w:rsidR="000629D8">
        <w:rPr>
          <w:b/>
          <w:bCs/>
        </w:rPr>
        <w:t xml:space="preserve"> </w:t>
      </w:r>
      <w:r w:rsidR="00387CB2">
        <w:rPr>
          <w:b/>
          <w:bCs/>
        </w:rPr>
        <w:t>saw</w:t>
      </w:r>
      <w:r w:rsidR="002834DC">
        <w:rPr>
          <w:b/>
          <w:bCs/>
        </w:rPr>
        <w:t xml:space="preserve"> up to 78</w:t>
      </w:r>
      <w:r w:rsidR="002A462F">
        <w:rPr>
          <w:b/>
          <w:bCs/>
        </w:rPr>
        <w:t xml:space="preserve"> document review </w:t>
      </w:r>
      <w:r w:rsidR="00387CB2">
        <w:rPr>
          <w:b/>
          <w:bCs/>
        </w:rPr>
        <w:t>cases</w:t>
      </w:r>
      <w:r w:rsidR="0061542A">
        <w:rPr>
          <w:b/>
          <w:bCs/>
        </w:rPr>
        <w:t xml:space="preserve"> annually</w:t>
      </w:r>
      <w:r w:rsidR="00397830">
        <w:rPr>
          <w:b/>
          <w:bCs/>
        </w:rPr>
        <w:t xml:space="preserve">, </w:t>
      </w:r>
      <w:r w:rsidR="00AD7F2B">
        <w:rPr>
          <w:b/>
          <w:bCs/>
        </w:rPr>
        <w:t xml:space="preserve">Fiscal Year 2025 </w:t>
      </w:r>
      <w:r w:rsidR="00387CB2">
        <w:rPr>
          <w:b/>
          <w:bCs/>
        </w:rPr>
        <w:t xml:space="preserve">increased to </w:t>
      </w:r>
      <w:r w:rsidR="002538D3">
        <w:rPr>
          <w:b/>
          <w:bCs/>
        </w:rPr>
        <w:t>146 c</w:t>
      </w:r>
      <w:r w:rsidR="003A06B6">
        <w:rPr>
          <w:b/>
          <w:bCs/>
        </w:rPr>
        <w:t xml:space="preserve">ases </w:t>
      </w:r>
      <w:r w:rsidR="00387CB2">
        <w:rPr>
          <w:b/>
          <w:bCs/>
        </w:rPr>
        <w:t>a</w:t>
      </w:r>
      <w:r w:rsidR="002538D3">
        <w:rPr>
          <w:b/>
          <w:bCs/>
        </w:rPr>
        <w:t xml:space="preserve">nd Fiscal Year 2026 </w:t>
      </w:r>
      <w:r w:rsidR="005054D0">
        <w:rPr>
          <w:b/>
          <w:bCs/>
        </w:rPr>
        <w:t xml:space="preserve">is trending </w:t>
      </w:r>
      <w:r w:rsidR="0061542A">
        <w:rPr>
          <w:b/>
          <w:bCs/>
        </w:rPr>
        <w:t xml:space="preserve">even </w:t>
      </w:r>
      <w:r w:rsidR="005054D0">
        <w:rPr>
          <w:b/>
          <w:bCs/>
        </w:rPr>
        <w:t xml:space="preserve">higher with 154 cases through the first </w:t>
      </w:r>
      <w:r w:rsidR="00042737">
        <w:rPr>
          <w:b/>
          <w:bCs/>
        </w:rPr>
        <w:t>ten months.</w:t>
      </w:r>
    </w:p>
    <w:p w14:paraId="01B339AC" w14:textId="43E51D3A" w:rsidR="007A1FF0" w:rsidRPr="00C8247C" w:rsidRDefault="007A1FF0" w:rsidP="007A1FF0">
      <w:pPr>
        <w:ind w:left="720"/>
        <w:rPr>
          <w:b/>
          <w:bCs/>
        </w:rPr>
      </w:pPr>
      <w:r w:rsidRPr="00C8247C">
        <w:rPr>
          <w:b/>
          <w:bCs/>
        </w:rPr>
        <w:t xml:space="preserve">Approximately 3-5 IME/IPE cases are referred for review </w:t>
      </w:r>
      <w:r w:rsidR="00934A2E">
        <w:rPr>
          <w:b/>
          <w:bCs/>
        </w:rPr>
        <w:t>annually</w:t>
      </w:r>
      <w:r w:rsidRPr="00C8247C">
        <w:rPr>
          <w:b/>
          <w:bCs/>
        </w:rPr>
        <w:t>.</w:t>
      </w:r>
    </w:p>
    <w:p w14:paraId="671AB546" w14:textId="0F4AF05E" w:rsidR="007A1FF0" w:rsidRPr="00A666F6" w:rsidRDefault="007A1FF0" w:rsidP="007A1FF0">
      <w:pPr>
        <w:ind w:left="720"/>
      </w:pPr>
      <w:r w:rsidRPr="00C8247C">
        <w:rPr>
          <w:b/>
          <w:bCs/>
        </w:rPr>
        <w:t>No “expert testimony matters” have been requested during the current 5-year contract period</w:t>
      </w:r>
      <w:r w:rsidR="00900041">
        <w:rPr>
          <w:b/>
          <w:bCs/>
        </w:rPr>
        <w:t>.</w:t>
      </w:r>
    </w:p>
    <w:p w14:paraId="6CC983DB" w14:textId="77777777" w:rsidR="00A666F6" w:rsidRDefault="00A666F6" w:rsidP="00A666F6">
      <w:pPr>
        <w:numPr>
          <w:ilvl w:val="0"/>
          <w:numId w:val="1"/>
        </w:numPr>
      </w:pPr>
      <w:r w:rsidRPr="00A666F6">
        <w:t>Does SERS require all reviewing physicians and examiners to hold Illinois licenses, or are out-of-state licensed providers acceptable if otherwise properly credentialed? </w:t>
      </w:r>
    </w:p>
    <w:p w14:paraId="7D9BAFFC" w14:textId="02BA1C5C" w:rsidR="00A666F6" w:rsidRPr="00C8247C" w:rsidRDefault="00A666F6" w:rsidP="00A666F6">
      <w:pPr>
        <w:ind w:left="720"/>
        <w:rPr>
          <w:b/>
          <w:bCs/>
        </w:rPr>
      </w:pPr>
      <w:r w:rsidRPr="00C8247C">
        <w:rPr>
          <w:b/>
          <w:bCs/>
        </w:rPr>
        <w:lastRenderedPageBreak/>
        <w:t>Out-of-State licens</w:t>
      </w:r>
      <w:r w:rsidR="00B13BEF">
        <w:rPr>
          <w:b/>
          <w:bCs/>
        </w:rPr>
        <w:t xml:space="preserve">ed providers </w:t>
      </w:r>
      <w:r w:rsidRPr="00C8247C">
        <w:rPr>
          <w:b/>
          <w:bCs/>
        </w:rPr>
        <w:t>are acceptable.</w:t>
      </w:r>
    </w:p>
    <w:p w14:paraId="09D448FF" w14:textId="77777777" w:rsidR="00A666F6" w:rsidRDefault="00A666F6" w:rsidP="00A666F6">
      <w:pPr>
        <w:numPr>
          <w:ilvl w:val="0"/>
          <w:numId w:val="1"/>
        </w:numPr>
      </w:pPr>
      <w:r w:rsidRPr="00A666F6">
        <w:t>Are virtual IMEs or telehealth psychiatric evaluations permitted in addition to the referenced “virtual IPE” language in Appendix C?</w:t>
      </w:r>
    </w:p>
    <w:p w14:paraId="0574A6E4" w14:textId="2D1E5190" w:rsidR="00EB3B46" w:rsidRPr="00C8247C" w:rsidRDefault="00EB3B46" w:rsidP="00EB3B46">
      <w:pPr>
        <w:ind w:left="720"/>
        <w:rPr>
          <w:b/>
          <w:bCs/>
        </w:rPr>
      </w:pPr>
      <w:r w:rsidRPr="00C8247C">
        <w:rPr>
          <w:b/>
          <w:bCs/>
        </w:rPr>
        <w:t xml:space="preserve">While this item may be negotiable, SERS contends that most IMEs </w:t>
      </w:r>
      <w:r w:rsidR="00BE4FDF" w:rsidRPr="00C8247C">
        <w:rPr>
          <w:b/>
          <w:bCs/>
        </w:rPr>
        <w:t>should</w:t>
      </w:r>
      <w:r w:rsidRPr="00C8247C">
        <w:rPr>
          <w:b/>
          <w:bCs/>
        </w:rPr>
        <w:t xml:space="preserve"> be in-person.</w:t>
      </w:r>
    </w:p>
    <w:p w14:paraId="3001096C" w14:textId="77777777" w:rsidR="00A666F6" w:rsidRDefault="00A666F6" w:rsidP="00A666F6">
      <w:pPr>
        <w:numPr>
          <w:ilvl w:val="0"/>
          <w:numId w:val="1"/>
        </w:numPr>
      </w:pPr>
      <w:r w:rsidRPr="00A666F6">
        <w:t>Can SERS provide the percentage breakdown of cases by specialty (</w:t>
      </w:r>
      <w:proofErr w:type="gramStart"/>
      <w:r w:rsidRPr="00A666F6">
        <w:t>orthopedic</w:t>
      </w:r>
      <w:proofErr w:type="gramEnd"/>
      <w:r w:rsidRPr="00A666F6">
        <w:t>, psychiatry, neurology, internal medicine, etc.)?</w:t>
      </w:r>
    </w:p>
    <w:p w14:paraId="717E4C8C" w14:textId="04F929AB" w:rsidR="00BE4FDF" w:rsidRPr="00A666F6" w:rsidRDefault="00FB133B" w:rsidP="00A666F6">
      <w:pPr>
        <w:ind w:left="720"/>
      </w:pPr>
      <w:r>
        <w:rPr>
          <w:b/>
          <w:bCs/>
        </w:rPr>
        <w:t xml:space="preserve">Even if this information </w:t>
      </w:r>
      <w:proofErr w:type="gramStart"/>
      <w:r>
        <w:rPr>
          <w:b/>
          <w:bCs/>
        </w:rPr>
        <w:t>were</w:t>
      </w:r>
      <w:proofErr w:type="gramEnd"/>
      <w:r>
        <w:rPr>
          <w:b/>
          <w:bCs/>
        </w:rPr>
        <w:t xml:space="preserve"> requested under the Freedom of Information Act (FOIA), </w:t>
      </w:r>
      <w:r w:rsidRPr="006549F4">
        <w:rPr>
          <w:b/>
          <w:bCs/>
        </w:rPr>
        <w:t>SERS</w:t>
      </w:r>
      <w:r w:rsidR="001F599C">
        <w:rPr>
          <w:b/>
          <w:bCs/>
        </w:rPr>
        <w:t xml:space="preserve"> </w:t>
      </w:r>
      <w:r w:rsidR="00A57069">
        <w:rPr>
          <w:b/>
          <w:bCs/>
        </w:rPr>
        <w:t xml:space="preserve">would be </w:t>
      </w:r>
      <w:r w:rsidR="004E7C72">
        <w:rPr>
          <w:b/>
          <w:bCs/>
        </w:rPr>
        <w:t>unwilling to provide a response</w:t>
      </w:r>
      <w:r>
        <w:rPr>
          <w:b/>
          <w:bCs/>
        </w:rPr>
        <w:t>.  The basis is that the</w:t>
      </w:r>
      <w:r w:rsidR="00A666F6" w:rsidRPr="006549F4">
        <w:rPr>
          <w:b/>
          <w:bCs/>
        </w:rPr>
        <w:t xml:space="preserve"> information is not tracked in </w:t>
      </w:r>
      <w:r w:rsidR="00BE4FDF" w:rsidRPr="006549F4">
        <w:rPr>
          <w:b/>
          <w:bCs/>
        </w:rPr>
        <w:t xml:space="preserve">this </w:t>
      </w:r>
      <w:r w:rsidR="00A666F6" w:rsidRPr="006549F4">
        <w:rPr>
          <w:b/>
          <w:bCs/>
        </w:rPr>
        <w:t>manner</w:t>
      </w:r>
      <w:r w:rsidR="00BE4FDF" w:rsidRPr="006549F4">
        <w:rPr>
          <w:b/>
          <w:bCs/>
        </w:rPr>
        <w:t xml:space="preserve"> at a macro level</w:t>
      </w:r>
      <w:r w:rsidR="004C06FC" w:rsidRPr="006549F4">
        <w:rPr>
          <w:b/>
          <w:bCs/>
        </w:rPr>
        <w:t xml:space="preserve"> that would permit a response </w:t>
      </w:r>
      <w:r w:rsidR="00C8247C" w:rsidRPr="006549F4">
        <w:rPr>
          <w:b/>
          <w:bCs/>
        </w:rPr>
        <w:t xml:space="preserve">as </w:t>
      </w:r>
      <w:r w:rsidR="004C06FC" w:rsidRPr="006549F4">
        <w:rPr>
          <w:b/>
          <w:bCs/>
        </w:rPr>
        <w:t>requested</w:t>
      </w:r>
      <w:r w:rsidR="00EB3B46" w:rsidRPr="006549F4">
        <w:rPr>
          <w:b/>
          <w:bCs/>
        </w:rPr>
        <w:t>, and</w:t>
      </w:r>
      <w:r w:rsidR="004C06FC" w:rsidRPr="006549F4">
        <w:rPr>
          <w:b/>
          <w:bCs/>
        </w:rPr>
        <w:t xml:space="preserve"> a public body is not </w:t>
      </w:r>
      <w:r w:rsidR="00C8247C" w:rsidRPr="006549F4">
        <w:rPr>
          <w:b/>
          <w:bCs/>
        </w:rPr>
        <w:t>required to “maintain or prepare any public record which was not maintained or prepared by such public body” when the Freedom of Information</w:t>
      </w:r>
      <w:r w:rsidR="006549F4" w:rsidRPr="006549F4">
        <w:rPr>
          <w:b/>
          <w:bCs/>
        </w:rPr>
        <w:t xml:space="preserve"> Act</w:t>
      </w:r>
      <w:r w:rsidR="00C8247C" w:rsidRPr="006549F4">
        <w:rPr>
          <w:b/>
          <w:bCs/>
        </w:rPr>
        <w:t xml:space="preserve"> took effective.  Furthermore, </w:t>
      </w:r>
      <w:r w:rsidR="006549F4" w:rsidRPr="006549F4">
        <w:rPr>
          <w:b/>
          <w:bCs/>
        </w:rPr>
        <w:t xml:space="preserve">the Freedom of Information Act is not intended to “allow the requests of a commercial enterprise to unduly burden public resources, or to disrupt the </w:t>
      </w:r>
      <w:proofErr w:type="gramStart"/>
      <w:r w:rsidR="006549F4" w:rsidRPr="006549F4">
        <w:rPr>
          <w:b/>
          <w:bCs/>
        </w:rPr>
        <w:t>duly-undertaken</w:t>
      </w:r>
      <w:proofErr w:type="gramEnd"/>
      <w:r w:rsidR="006549F4" w:rsidRPr="006549F4">
        <w:rPr>
          <w:b/>
          <w:bCs/>
        </w:rPr>
        <w:t xml:space="preserve"> work of any public body independent of the fulfillment of any of the fore-mentioned rights of the people to access to information, see 5 ILCS 140/1). </w:t>
      </w:r>
    </w:p>
    <w:p w14:paraId="32D34336" w14:textId="77777777" w:rsidR="00A666F6" w:rsidRDefault="00A666F6" w:rsidP="00A666F6">
      <w:pPr>
        <w:numPr>
          <w:ilvl w:val="0"/>
          <w:numId w:val="1"/>
        </w:numPr>
      </w:pPr>
      <w:r w:rsidRPr="00A666F6">
        <w:t>What is the average medical record size (page count) for:</w:t>
      </w:r>
    </w:p>
    <w:p w14:paraId="6DC63353" w14:textId="77777777" w:rsidR="00A666F6" w:rsidRPr="00A666F6" w:rsidRDefault="00A666F6" w:rsidP="00A666F6">
      <w:pPr>
        <w:numPr>
          <w:ilvl w:val="1"/>
          <w:numId w:val="3"/>
        </w:numPr>
      </w:pPr>
      <w:r w:rsidRPr="00A666F6">
        <w:t>Standard reviews</w:t>
      </w:r>
    </w:p>
    <w:p w14:paraId="67ABE6A5" w14:textId="77777777" w:rsidR="00A666F6" w:rsidRPr="00A666F6" w:rsidRDefault="00A666F6" w:rsidP="00A666F6">
      <w:pPr>
        <w:numPr>
          <w:ilvl w:val="1"/>
          <w:numId w:val="3"/>
        </w:numPr>
      </w:pPr>
      <w:r w:rsidRPr="00A666F6">
        <w:t>Complex reviews</w:t>
      </w:r>
    </w:p>
    <w:p w14:paraId="48BC2C92" w14:textId="77777777" w:rsidR="00A666F6" w:rsidRDefault="00A666F6" w:rsidP="00A666F6">
      <w:pPr>
        <w:numPr>
          <w:ilvl w:val="1"/>
          <w:numId w:val="3"/>
        </w:numPr>
      </w:pPr>
      <w:r w:rsidRPr="00A666F6">
        <w:t>IME/IPE referrals</w:t>
      </w:r>
    </w:p>
    <w:p w14:paraId="37A9F8CA" w14:textId="5CD646F5" w:rsidR="006549F4" w:rsidRPr="006549F4" w:rsidRDefault="006549F4" w:rsidP="006549F4">
      <w:pPr>
        <w:pStyle w:val="ListParagraph"/>
        <w:rPr>
          <w:b/>
          <w:bCs/>
        </w:rPr>
      </w:pPr>
      <w:r w:rsidRPr="006549F4">
        <w:rPr>
          <w:b/>
          <w:bCs/>
        </w:rPr>
        <w:t xml:space="preserve">The typical </w:t>
      </w:r>
      <w:r w:rsidR="00B13BEF">
        <w:rPr>
          <w:b/>
          <w:bCs/>
        </w:rPr>
        <w:t xml:space="preserve">medical </w:t>
      </w:r>
      <w:r w:rsidRPr="006549F4">
        <w:rPr>
          <w:b/>
          <w:bCs/>
        </w:rPr>
        <w:t>record size</w:t>
      </w:r>
      <w:r w:rsidR="00B13BEF">
        <w:rPr>
          <w:b/>
          <w:bCs/>
        </w:rPr>
        <w:t xml:space="preserve"> </w:t>
      </w:r>
      <w:r w:rsidRPr="006549F4">
        <w:rPr>
          <w:b/>
          <w:bCs/>
        </w:rPr>
        <w:t>for review</w:t>
      </w:r>
      <w:r w:rsidR="00B13BEF">
        <w:rPr>
          <w:b/>
          <w:bCs/>
        </w:rPr>
        <w:t>s</w:t>
      </w:r>
      <w:r w:rsidRPr="006549F4">
        <w:rPr>
          <w:b/>
          <w:bCs/>
        </w:rPr>
        <w:t xml:space="preserve"> is approximately 50</w:t>
      </w:r>
      <w:r w:rsidR="008964B2">
        <w:rPr>
          <w:b/>
          <w:bCs/>
        </w:rPr>
        <w:t>-100</w:t>
      </w:r>
      <w:r w:rsidRPr="006549F4">
        <w:rPr>
          <w:b/>
          <w:bCs/>
        </w:rPr>
        <w:t xml:space="preserve"> pages.</w:t>
      </w:r>
    </w:p>
    <w:p w14:paraId="7606B4B4" w14:textId="77777777" w:rsidR="00A666F6" w:rsidRDefault="00A666F6" w:rsidP="00A666F6">
      <w:pPr>
        <w:numPr>
          <w:ilvl w:val="0"/>
          <w:numId w:val="1"/>
        </w:numPr>
      </w:pPr>
      <w:r w:rsidRPr="00A666F6">
        <w:t>Are vendors expected to obtain additional medical records, or will all records be provided directly by SERS?</w:t>
      </w:r>
    </w:p>
    <w:p w14:paraId="7CACBA0A" w14:textId="7A4505CD" w:rsidR="00EB3B46" w:rsidRPr="006549F4" w:rsidRDefault="00EB3B46" w:rsidP="00EB3B46">
      <w:pPr>
        <w:ind w:left="720"/>
        <w:rPr>
          <w:b/>
          <w:bCs/>
        </w:rPr>
      </w:pPr>
      <w:r w:rsidRPr="006549F4">
        <w:rPr>
          <w:b/>
          <w:bCs/>
        </w:rPr>
        <w:t xml:space="preserve">In virtually all cases, SERS will provide the medical records </w:t>
      </w:r>
      <w:r w:rsidR="00BE4FDF" w:rsidRPr="006549F4">
        <w:rPr>
          <w:b/>
          <w:bCs/>
        </w:rPr>
        <w:t xml:space="preserve">directly </w:t>
      </w:r>
      <w:r w:rsidRPr="006549F4">
        <w:rPr>
          <w:b/>
          <w:bCs/>
        </w:rPr>
        <w:t>to the vendor.</w:t>
      </w:r>
    </w:p>
    <w:p w14:paraId="7A4F4B28" w14:textId="77777777" w:rsidR="00A666F6" w:rsidRDefault="00A666F6" w:rsidP="00A666F6">
      <w:pPr>
        <w:numPr>
          <w:ilvl w:val="0"/>
          <w:numId w:val="1"/>
        </w:numPr>
      </w:pPr>
      <w:r w:rsidRPr="00A666F6">
        <w:t>Does SERS anticipate requiring in-person testimony within Illinois, or may testimony be provided virtually when appropriate?</w:t>
      </w:r>
    </w:p>
    <w:p w14:paraId="4FF2550F" w14:textId="04E7A680" w:rsidR="00EB3B46" w:rsidRPr="006549F4" w:rsidRDefault="00EB3B46" w:rsidP="00EB3B46">
      <w:pPr>
        <w:ind w:left="720"/>
        <w:rPr>
          <w:b/>
          <w:bCs/>
        </w:rPr>
      </w:pPr>
      <w:r w:rsidRPr="006549F4">
        <w:rPr>
          <w:b/>
          <w:bCs/>
        </w:rPr>
        <w:t xml:space="preserve">When appropriate, </w:t>
      </w:r>
      <w:r w:rsidR="00783984">
        <w:rPr>
          <w:b/>
          <w:bCs/>
        </w:rPr>
        <w:t>v</w:t>
      </w:r>
      <w:r w:rsidRPr="006549F4">
        <w:rPr>
          <w:b/>
          <w:bCs/>
        </w:rPr>
        <w:t xml:space="preserve">irtual testimony is acceptable. </w:t>
      </w:r>
    </w:p>
    <w:p w14:paraId="4F0341C7" w14:textId="77777777" w:rsidR="00A666F6" w:rsidRDefault="00A666F6" w:rsidP="00A666F6">
      <w:pPr>
        <w:numPr>
          <w:ilvl w:val="0"/>
          <w:numId w:val="1"/>
        </w:numPr>
      </w:pPr>
      <w:r w:rsidRPr="00A666F6">
        <w:lastRenderedPageBreak/>
        <w:t> Will SERS consider alternative pricing structures, such as blended rates or tiered pricing based on case complexity or record volume?</w:t>
      </w:r>
    </w:p>
    <w:p w14:paraId="06A743EE" w14:textId="4A9B1683" w:rsidR="006549F4" w:rsidRPr="006549F4" w:rsidRDefault="00EE0F3D" w:rsidP="006549F4">
      <w:pPr>
        <w:ind w:left="720"/>
        <w:rPr>
          <w:b/>
          <w:bCs/>
        </w:rPr>
      </w:pPr>
      <w:r>
        <w:rPr>
          <w:b/>
          <w:bCs/>
        </w:rPr>
        <w:t xml:space="preserve">Any </w:t>
      </w:r>
      <w:r w:rsidR="00B13BEF">
        <w:rPr>
          <w:b/>
          <w:bCs/>
        </w:rPr>
        <w:t xml:space="preserve">proposed </w:t>
      </w:r>
      <w:r w:rsidR="00B46413">
        <w:rPr>
          <w:b/>
          <w:bCs/>
        </w:rPr>
        <w:t>alternative pricing structures</w:t>
      </w:r>
      <w:r w:rsidR="007555C3">
        <w:rPr>
          <w:b/>
          <w:bCs/>
        </w:rPr>
        <w:t xml:space="preserve"> </w:t>
      </w:r>
      <w:r w:rsidR="000A2E87">
        <w:rPr>
          <w:b/>
          <w:bCs/>
        </w:rPr>
        <w:t xml:space="preserve">or </w:t>
      </w:r>
      <w:r w:rsidR="00565865">
        <w:rPr>
          <w:b/>
          <w:bCs/>
        </w:rPr>
        <w:t>caveats must be</w:t>
      </w:r>
      <w:r w:rsidR="007D76CF">
        <w:rPr>
          <w:b/>
          <w:bCs/>
        </w:rPr>
        <w:t xml:space="preserve"> clearly </w:t>
      </w:r>
      <w:r w:rsidR="003C201E">
        <w:rPr>
          <w:b/>
          <w:bCs/>
        </w:rPr>
        <w:t>identified in Appendix C.</w:t>
      </w:r>
    </w:p>
    <w:p w14:paraId="4AFF600F" w14:textId="77777777" w:rsidR="00A666F6" w:rsidRDefault="00A666F6" w:rsidP="00A666F6">
      <w:pPr>
        <w:numPr>
          <w:ilvl w:val="0"/>
          <w:numId w:val="1"/>
        </w:numPr>
      </w:pPr>
      <w:r w:rsidRPr="00A666F6">
        <w:t xml:space="preserve">We have nationwide network of contracted medical providers to perform exams and reviews. These providers function as independent contractors rather than traditional subcontracting entities. We </w:t>
      </w:r>
      <w:proofErr w:type="gramStart"/>
      <w:r w:rsidRPr="00A666F6">
        <w:t>wanted</w:t>
      </w:r>
      <w:proofErr w:type="gramEnd"/>
      <w:r w:rsidRPr="00A666F6">
        <w:t xml:space="preserve"> to confirm your agreement.</w:t>
      </w:r>
    </w:p>
    <w:p w14:paraId="5FAF0D74" w14:textId="7CFED664" w:rsidR="00EB3B46" w:rsidRPr="006549F4" w:rsidRDefault="00270C3A" w:rsidP="00EB3B46">
      <w:pPr>
        <w:ind w:left="720"/>
        <w:rPr>
          <w:b/>
          <w:bCs/>
        </w:rPr>
      </w:pPr>
      <w:r>
        <w:rPr>
          <w:b/>
          <w:bCs/>
        </w:rPr>
        <w:t xml:space="preserve">This </w:t>
      </w:r>
      <w:r w:rsidR="00EB3B46" w:rsidRPr="006549F4">
        <w:rPr>
          <w:b/>
          <w:bCs/>
        </w:rPr>
        <w:t>arrangement is acceptable.</w:t>
      </w:r>
    </w:p>
    <w:p w14:paraId="42150773" w14:textId="77777777" w:rsidR="00A666F6" w:rsidRDefault="00A666F6" w:rsidP="00A666F6">
      <w:pPr>
        <w:numPr>
          <w:ilvl w:val="0"/>
          <w:numId w:val="1"/>
        </w:numPr>
      </w:pPr>
      <w:r w:rsidRPr="00A666F6">
        <w:t>Does SERS anticipate awarding to a single vendor or multiple vendors?</w:t>
      </w:r>
    </w:p>
    <w:p w14:paraId="1214A117" w14:textId="3451783B" w:rsidR="00EB3B46" w:rsidRPr="006549F4" w:rsidRDefault="00F72E6E" w:rsidP="00EB3B46">
      <w:pPr>
        <w:ind w:left="720"/>
        <w:rPr>
          <w:b/>
          <w:bCs/>
        </w:rPr>
      </w:pPr>
      <w:r>
        <w:rPr>
          <w:b/>
          <w:bCs/>
        </w:rPr>
        <w:t xml:space="preserve">SERS anticipates </w:t>
      </w:r>
      <w:r w:rsidR="00224EC8">
        <w:rPr>
          <w:b/>
          <w:bCs/>
        </w:rPr>
        <w:t>awarding to a s</w:t>
      </w:r>
      <w:r w:rsidR="00EB3B46" w:rsidRPr="006549F4">
        <w:rPr>
          <w:b/>
          <w:bCs/>
        </w:rPr>
        <w:t>ingle vendor</w:t>
      </w:r>
      <w:r w:rsidR="00224EC8">
        <w:rPr>
          <w:b/>
          <w:bCs/>
        </w:rPr>
        <w:t>.</w:t>
      </w:r>
    </w:p>
    <w:p w14:paraId="3BCBA51D" w14:textId="77777777" w:rsidR="00A666F6" w:rsidRDefault="00A666F6" w:rsidP="00A666F6">
      <w:pPr>
        <w:numPr>
          <w:ilvl w:val="0"/>
          <w:numId w:val="1"/>
        </w:numPr>
      </w:pPr>
      <w:r w:rsidRPr="00A666F6">
        <w:t xml:space="preserve">Can SERS confirm whether references from other disability </w:t>
      </w:r>
      <w:proofErr w:type="gramStart"/>
      <w:r w:rsidRPr="00A666F6">
        <w:t>review</w:t>
      </w:r>
      <w:proofErr w:type="gramEnd"/>
      <w:r w:rsidRPr="00A666F6">
        <w:t xml:space="preserve"> or workers’ compensation programs will satisfy experience requirements if public retirement system references are limited?</w:t>
      </w:r>
    </w:p>
    <w:p w14:paraId="72A005EE" w14:textId="2DE56FD4" w:rsidR="00EB3B46" w:rsidRPr="006549F4" w:rsidRDefault="00EB3B46" w:rsidP="00EB3B46">
      <w:pPr>
        <w:ind w:left="720"/>
        <w:rPr>
          <w:b/>
          <w:bCs/>
        </w:rPr>
      </w:pPr>
      <w:r w:rsidRPr="006549F4">
        <w:rPr>
          <w:b/>
          <w:bCs/>
        </w:rPr>
        <w:t>This is acceptable.</w:t>
      </w:r>
    </w:p>
    <w:p w14:paraId="0E8A1750" w14:textId="77777777" w:rsidR="00A666F6" w:rsidRDefault="00A666F6" w:rsidP="00A666F6">
      <w:pPr>
        <w:numPr>
          <w:ilvl w:val="0"/>
          <w:numId w:val="1"/>
        </w:numPr>
      </w:pPr>
      <w:r w:rsidRPr="00A666F6">
        <w:t>Has SERS established an estimated annual budget for these services?</w:t>
      </w:r>
    </w:p>
    <w:p w14:paraId="56F6CFD7" w14:textId="1428A570" w:rsidR="00EB3B46" w:rsidRPr="006549F4" w:rsidRDefault="00BE4FDF" w:rsidP="00EB3B46">
      <w:pPr>
        <w:ind w:left="720"/>
        <w:rPr>
          <w:b/>
          <w:bCs/>
        </w:rPr>
      </w:pPr>
      <w:r w:rsidRPr="006549F4">
        <w:rPr>
          <w:b/>
          <w:bCs/>
        </w:rPr>
        <w:t>$</w:t>
      </w:r>
      <w:r w:rsidR="00020452">
        <w:rPr>
          <w:b/>
          <w:bCs/>
        </w:rPr>
        <w:t>8</w:t>
      </w:r>
      <w:r w:rsidRPr="006549F4">
        <w:rPr>
          <w:b/>
          <w:bCs/>
        </w:rPr>
        <w:t xml:space="preserve">0,000 is the </w:t>
      </w:r>
      <w:r w:rsidR="00020452">
        <w:rPr>
          <w:b/>
          <w:bCs/>
        </w:rPr>
        <w:t xml:space="preserve">annual </w:t>
      </w:r>
      <w:r w:rsidRPr="006549F4">
        <w:rPr>
          <w:b/>
          <w:bCs/>
        </w:rPr>
        <w:t>budget</w:t>
      </w:r>
      <w:r w:rsidR="00020452">
        <w:rPr>
          <w:b/>
          <w:bCs/>
        </w:rPr>
        <w:t xml:space="preserve"> </w:t>
      </w:r>
      <w:r w:rsidRPr="006549F4">
        <w:rPr>
          <w:b/>
          <w:bCs/>
        </w:rPr>
        <w:t>for th</w:t>
      </w:r>
      <w:r w:rsidR="00020452">
        <w:rPr>
          <w:b/>
          <w:bCs/>
        </w:rPr>
        <w:t>ese</w:t>
      </w:r>
      <w:r w:rsidRPr="006549F4">
        <w:rPr>
          <w:b/>
          <w:bCs/>
        </w:rPr>
        <w:t xml:space="preserve"> service</w:t>
      </w:r>
      <w:r w:rsidR="00020452">
        <w:rPr>
          <w:b/>
          <w:bCs/>
        </w:rPr>
        <w:t>s</w:t>
      </w:r>
      <w:r w:rsidRPr="006549F4">
        <w:rPr>
          <w:b/>
          <w:bCs/>
        </w:rPr>
        <w:t>.</w:t>
      </w:r>
    </w:p>
    <w:p w14:paraId="62AD205E" w14:textId="77777777" w:rsidR="00A666F6" w:rsidRDefault="00A666F6" w:rsidP="00A666F6">
      <w:pPr>
        <w:numPr>
          <w:ilvl w:val="0"/>
          <w:numId w:val="1"/>
        </w:numPr>
      </w:pPr>
      <w:r w:rsidRPr="00A666F6">
        <w:t>Would SERS consider extending the proposal due date by 1–2 weeks to allow vendors adequate time to assemble specialty provider documentation, references, and pricing information?</w:t>
      </w:r>
    </w:p>
    <w:p w14:paraId="3B13073F" w14:textId="754E927B" w:rsidR="00A666F6" w:rsidRPr="006549F4" w:rsidRDefault="007B1B4B" w:rsidP="00A666F6">
      <w:pPr>
        <w:ind w:left="720"/>
        <w:rPr>
          <w:b/>
          <w:bCs/>
        </w:rPr>
      </w:pPr>
      <w:r>
        <w:rPr>
          <w:b/>
          <w:bCs/>
        </w:rPr>
        <w:t xml:space="preserve">SERS </w:t>
      </w:r>
      <w:r w:rsidR="00F74065">
        <w:rPr>
          <w:b/>
          <w:bCs/>
        </w:rPr>
        <w:t>will not consider extending the proposal due date.</w:t>
      </w:r>
    </w:p>
    <w:p w14:paraId="26BF9ADB" w14:textId="77777777" w:rsidR="00A666F6" w:rsidRDefault="00A666F6" w:rsidP="00A666F6">
      <w:pPr>
        <w:numPr>
          <w:ilvl w:val="0"/>
          <w:numId w:val="1"/>
        </w:numPr>
      </w:pPr>
      <w:r w:rsidRPr="00A666F6">
        <w:t xml:space="preserve">Regarding references, Section </w:t>
      </w:r>
      <w:proofErr w:type="gramStart"/>
      <w:r w:rsidRPr="00A666F6">
        <w:t>C, #</w:t>
      </w:r>
      <w:proofErr w:type="gramEnd"/>
      <w:r w:rsidRPr="00A666F6">
        <w:t>3, on page 8, if we do not have any clients who have terminated, what should we include in lieu of this information?</w:t>
      </w:r>
    </w:p>
    <w:p w14:paraId="69E291B3" w14:textId="05AC286E" w:rsidR="006549F4" w:rsidRPr="006549F4" w:rsidRDefault="00F42A10" w:rsidP="006549F4">
      <w:pPr>
        <w:ind w:left="720"/>
        <w:rPr>
          <w:b/>
          <w:bCs/>
        </w:rPr>
      </w:pPr>
      <w:r>
        <w:rPr>
          <w:b/>
          <w:bCs/>
        </w:rPr>
        <w:t xml:space="preserve">Additional </w:t>
      </w:r>
      <w:r w:rsidR="00E578DF">
        <w:rPr>
          <w:b/>
          <w:bCs/>
        </w:rPr>
        <w:t>current client referen</w:t>
      </w:r>
      <w:r w:rsidR="00437D52">
        <w:rPr>
          <w:b/>
          <w:bCs/>
        </w:rPr>
        <w:t xml:space="preserve">ces can be substituted for </w:t>
      </w:r>
      <w:r w:rsidR="00775199">
        <w:rPr>
          <w:b/>
          <w:bCs/>
        </w:rPr>
        <w:t>former client references.</w:t>
      </w:r>
    </w:p>
    <w:p w14:paraId="1FA47BD5" w14:textId="77777777" w:rsidR="00A666F6" w:rsidRDefault="00A666F6" w:rsidP="00A666F6">
      <w:pPr>
        <w:numPr>
          <w:ilvl w:val="0"/>
          <w:numId w:val="1"/>
        </w:numPr>
      </w:pPr>
      <w:r w:rsidRPr="00A666F6">
        <w:t>Due to our company’s security protocols, we are unable to save information on USB drives or CDs. Would you accept the electronic response via a secure shared folder or file managed by our Information Technology team?</w:t>
      </w:r>
    </w:p>
    <w:p w14:paraId="1E85FD7D" w14:textId="02C5AC02" w:rsidR="00EB3B46" w:rsidRPr="006549F4" w:rsidRDefault="00116AAF" w:rsidP="00EB3B46">
      <w:pPr>
        <w:ind w:left="720"/>
        <w:rPr>
          <w:b/>
          <w:bCs/>
        </w:rPr>
      </w:pPr>
      <w:r>
        <w:rPr>
          <w:b/>
          <w:bCs/>
        </w:rPr>
        <w:t>A</w:t>
      </w:r>
      <w:r w:rsidR="00A5462A">
        <w:rPr>
          <w:b/>
          <w:bCs/>
        </w:rPr>
        <w:t xml:space="preserve"> secure </w:t>
      </w:r>
      <w:r w:rsidR="00BC1A99">
        <w:rPr>
          <w:b/>
          <w:bCs/>
        </w:rPr>
        <w:t xml:space="preserve">shared folder </w:t>
      </w:r>
      <w:r w:rsidR="00BC1A99" w:rsidRPr="00BC1A99">
        <w:rPr>
          <w:b/>
          <w:bCs/>
        </w:rPr>
        <w:t xml:space="preserve">or file managed by </w:t>
      </w:r>
      <w:r>
        <w:rPr>
          <w:b/>
          <w:bCs/>
        </w:rPr>
        <w:t>your</w:t>
      </w:r>
      <w:r w:rsidR="00BC1A99" w:rsidRPr="00BC1A99">
        <w:rPr>
          <w:b/>
          <w:bCs/>
        </w:rPr>
        <w:t xml:space="preserve"> Information Technology team</w:t>
      </w:r>
      <w:r>
        <w:rPr>
          <w:b/>
          <w:bCs/>
        </w:rPr>
        <w:t xml:space="preserve"> is acceptable.</w:t>
      </w:r>
    </w:p>
    <w:p w14:paraId="042F5DAB" w14:textId="5B4C588C" w:rsidR="00A666F6" w:rsidRDefault="00A666F6" w:rsidP="00A666F6">
      <w:pPr>
        <w:numPr>
          <w:ilvl w:val="0"/>
          <w:numId w:val="1"/>
        </w:numPr>
      </w:pPr>
      <w:r w:rsidRPr="00B127F6">
        <w:lastRenderedPageBreak/>
        <w:t>Do we</w:t>
      </w:r>
      <w:r w:rsidRPr="00A666F6">
        <w:t xml:space="preserve"> need to send the certificate of insurance covering cybersecurity with the response?</w:t>
      </w:r>
    </w:p>
    <w:p w14:paraId="31D269AE" w14:textId="13BDFBA7" w:rsidR="00EB3B46" w:rsidRPr="006549F4" w:rsidRDefault="007D64DE" w:rsidP="00EB3B46">
      <w:pPr>
        <w:ind w:left="720"/>
        <w:rPr>
          <w:b/>
          <w:bCs/>
        </w:rPr>
      </w:pPr>
      <w:r w:rsidRPr="006549F4">
        <w:rPr>
          <w:b/>
          <w:bCs/>
        </w:rPr>
        <w:t>A</w:t>
      </w:r>
      <w:r w:rsidR="00EB3B46" w:rsidRPr="006549F4">
        <w:rPr>
          <w:b/>
          <w:bCs/>
        </w:rPr>
        <w:t xml:space="preserve"> </w:t>
      </w:r>
      <w:r w:rsidR="00B127F6">
        <w:rPr>
          <w:b/>
          <w:bCs/>
        </w:rPr>
        <w:t>statement</w:t>
      </w:r>
      <w:r w:rsidR="00EB3B46" w:rsidRPr="006549F4">
        <w:rPr>
          <w:b/>
          <w:bCs/>
        </w:rPr>
        <w:t xml:space="preserve"> </w:t>
      </w:r>
      <w:r w:rsidR="00B127F6">
        <w:rPr>
          <w:b/>
          <w:bCs/>
        </w:rPr>
        <w:t>of</w:t>
      </w:r>
      <w:r w:rsidR="00CA27B2">
        <w:rPr>
          <w:b/>
          <w:bCs/>
        </w:rPr>
        <w:t xml:space="preserve"> </w:t>
      </w:r>
      <w:r w:rsidR="00EB3B46" w:rsidRPr="006549F4">
        <w:rPr>
          <w:b/>
          <w:bCs/>
        </w:rPr>
        <w:t>coverage</w:t>
      </w:r>
      <w:r w:rsidR="00E6550D">
        <w:rPr>
          <w:b/>
          <w:bCs/>
        </w:rPr>
        <w:t>s</w:t>
      </w:r>
      <w:r w:rsidR="00EB3B46" w:rsidRPr="006549F4">
        <w:rPr>
          <w:b/>
          <w:bCs/>
        </w:rPr>
        <w:t xml:space="preserve"> </w:t>
      </w:r>
      <w:r w:rsidR="00CA27B2">
        <w:rPr>
          <w:b/>
          <w:bCs/>
        </w:rPr>
        <w:t>and amounts</w:t>
      </w:r>
      <w:r w:rsidR="002C0B12">
        <w:rPr>
          <w:b/>
          <w:bCs/>
        </w:rPr>
        <w:t xml:space="preserve"> is sufficient</w:t>
      </w:r>
      <w:r w:rsidR="008217F7">
        <w:rPr>
          <w:b/>
          <w:bCs/>
        </w:rPr>
        <w:t xml:space="preserve"> for proposal</w:t>
      </w:r>
      <w:r>
        <w:rPr>
          <w:b/>
          <w:bCs/>
        </w:rPr>
        <w:t xml:space="preserve"> response </w:t>
      </w:r>
      <w:r w:rsidR="00420770">
        <w:rPr>
          <w:b/>
          <w:bCs/>
        </w:rPr>
        <w:t>purposes</w:t>
      </w:r>
      <w:r w:rsidR="00EB3B46" w:rsidRPr="006549F4">
        <w:rPr>
          <w:b/>
          <w:bCs/>
        </w:rPr>
        <w:t>.</w:t>
      </w:r>
    </w:p>
    <w:p w14:paraId="282920F2" w14:textId="77777777" w:rsidR="00A666F6" w:rsidRDefault="00A666F6" w:rsidP="00A666F6">
      <w:pPr>
        <w:numPr>
          <w:ilvl w:val="0"/>
          <w:numId w:val="1"/>
        </w:numPr>
      </w:pPr>
      <w:r w:rsidRPr="00A666F6">
        <w:t>Do vendors need to be registered in both the State Board of Elections and the Illinois Procurement Gateway to participate in the bidding process?</w:t>
      </w:r>
    </w:p>
    <w:p w14:paraId="177E5961" w14:textId="29F42FBF" w:rsidR="00BE4FDF" w:rsidRPr="006549F4" w:rsidRDefault="009C2C09" w:rsidP="00BE4FDF">
      <w:pPr>
        <w:ind w:left="720"/>
        <w:rPr>
          <w:b/>
          <w:bCs/>
        </w:rPr>
      </w:pPr>
      <w:r w:rsidRPr="009C2C09">
        <w:rPr>
          <w:b/>
          <w:bCs/>
        </w:rPr>
        <w:t>30 ILCS 500/20</w:t>
      </w:r>
      <w:r w:rsidRPr="009C2C09">
        <w:rPr>
          <w:b/>
          <w:bCs/>
        </w:rPr>
        <w:noBreakHyphen/>
        <w:t>160 sets out requirements for business entities participating in Illinois state procurement, including mandatory certifications and registration with the State Board of Elections.</w:t>
      </w:r>
      <w:r>
        <w:rPr>
          <w:b/>
          <w:bCs/>
        </w:rPr>
        <w:t xml:space="preserve">  </w:t>
      </w:r>
      <w:r w:rsidR="009E4A5D">
        <w:rPr>
          <w:b/>
          <w:bCs/>
        </w:rPr>
        <w:t xml:space="preserve">Vendors </w:t>
      </w:r>
      <w:r w:rsidR="00481A53">
        <w:rPr>
          <w:b/>
          <w:bCs/>
        </w:rPr>
        <w:t>do not need to be registered in the Illinois Procurement Gateway</w:t>
      </w:r>
      <w:r w:rsidR="0000625C">
        <w:rPr>
          <w:b/>
          <w:bCs/>
        </w:rPr>
        <w:t xml:space="preserve"> to participate</w:t>
      </w:r>
      <w:r w:rsidR="00247C7C">
        <w:rPr>
          <w:b/>
          <w:bCs/>
        </w:rPr>
        <w:t xml:space="preserve"> in this </w:t>
      </w:r>
      <w:r w:rsidR="00281A74">
        <w:rPr>
          <w:b/>
          <w:bCs/>
        </w:rPr>
        <w:t>opportunity</w:t>
      </w:r>
      <w:r w:rsidR="0000625C">
        <w:rPr>
          <w:b/>
          <w:bCs/>
        </w:rPr>
        <w:t>.</w:t>
      </w:r>
    </w:p>
    <w:p w14:paraId="4CE1A3C1" w14:textId="77777777" w:rsidR="00A666F6" w:rsidRDefault="00A666F6" w:rsidP="00A666F6">
      <w:pPr>
        <w:numPr>
          <w:ilvl w:val="0"/>
          <w:numId w:val="1"/>
        </w:numPr>
      </w:pPr>
      <w:r w:rsidRPr="00A666F6">
        <w:t>Do the Reference Authorization Letters need to be in letterhead from the company we will use as reference?</w:t>
      </w:r>
    </w:p>
    <w:p w14:paraId="0DAB692A" w14:textId="4034CE3A" w:rsidR="00BE4FDF" w:rsidRPr="006549F4" w:rsidRDefault="008B0E59" w:rsidP="00BE4FDF">
      <w:pPr>
        <w:ind w:left="720"/>
        <w:rPr>
          <w:b/>
          <w:bCs/>
        </w:rPr>
      </w:pPr>
      <w:r>
        <w:rPr>
          <w:b/>
          <w:bCs/>
        </w:rPr>
        <w:t xml:space="preserve">Reference </w:t>
      </w:r>
      <w:r w:rsidR="00F818B7">
        <w:rPr>
          <w:b/>
          <w:bCs/>
        </w:rPr>
        <w:t>a</w:t>
      </w:r>
      <w:r>
        <w:rPr>
          <w:b/>
          <w:bCs/>
        </w:rPr>
        <w:t xml:space="preserve">uthorization </w:t>
      </w:r>
      <w:r w:rsidR="00F818B7">
        <w:rPr>
          <w:b/>
          <w:bCs/>
        </w:rPr>
        <w:t>l</w:t>
      </w:r>
      <w:r>
        <w:rPr>
          <w:b/>
          <w:bCs/>
        </w:rPr>
        <w:t xml:space="preserve">etters </w:t>
      </w:r>
      <w:r w:rsidR="00CA72D8">
        <w:rPr>
          <w:b/>
          <w:bCs/>
        </w:rPr>
        <w:t xml:space="preserve">must </w:t>
      </w:r>
      <w:r w:rsidR="00114DF1">
        <w:rPr>
          <w:b/>
          <w:bCs/>
        </w:rPr>
        <w:t>be on your letterhea</w:t>
      </w:r>
      <w:r w:rsidR="004C467D">
        <w:rPr>
          <w:b/>
          <w:bCs/>
        </w:rPr>
        <w:t xml:space="preserve">d addressed to the company being </w:t>
      </w:r>
      <w:r w:rsidR="00B06C39">
        <w:rPr>
          <w:b/>
          <w:bCs/>
        </w:rPr>
        <w:t>used as a reference</w:t>
      </w:r>
      <w:r w:rsidR="00BE4FDF" w:rsidRPr="006549F4">
        <w:rPr>
          <w:b/>
          <w:bCs/>
        </w:rPr>
        <w:t>.</w:t>
      </w:r>
    </w:p>
    <w:p w14:paraId="0753F3AA" w14:textId="77777777" w:rsidR="00A666F6" w:rsidRDefault="00A666F6" w:rsidP="00A666F6">
      <w:pPr>
        <w:numPr>
          <w:ilvl w:val="0"/>
          <w:numId w:val="1"/>
        </w:numPr>
      </w:pPr>
      <w:r w:rsidRPr="00A666F6">
        <w:t xml:space="preserve">Do the company doing reference for the vendor need to send the letters directly to you? Or should the vendor </w:t>
      </w:r>
      <w:proofErr w:type="gramStart"/>
      <w:r w:rsidRPr="00A666F6">
        <w:t>includes</w:t>
      </w:r>
      <w:proofErr w:type="gramEnd"/>
      <w:r w:rsidRPr="00A666F6">
        <w:t xml:space="preserve"> the reference letters with their response to the proposal?</w:t>
      </w:r>
    </w:p>
    <w:p w14:paraId="45FFFE91" w14:textId="09DBA62B" w:rsidR="00BC1100" w:rsidRDefault="00EB4153" w:rsidP="00EB4153">
      <w:pPr>
        <w:ind w:left="720"/>
        <w:rPr>
          <w:b/>
          <w:bCs/>
        </w:rPr>
      </w:pPr>
      <w:r>
        <w:rPr>
          <w:b/>
          <w:bCs/>
        </w:rPr>
        <w:t>SERS will</w:t>
      </w:r>
      <w:r w:rsidR="00F90BD0">
        <w:rPr>
          <w:b/>
          <w:bCs/>
        </w:rPr>
        <w:t xml:space="preserve"> forward</w:t>
      </w:r>
      <w:r w:rsidR="00B075C4">
        <w:rPr>
          <w:b/>
          <w:bCs/>
        </w:rPr>
        <w:t xml:space="preserve"> the completed </w:t>
      </w:r>
      <w:r w:rsidR="00F90BD0">
        <w:rPr>
          <w:b/>
          <w:bCs/>
        </w:rPr>
        <w:t>and signed r</w:t>
      </w:r>
      <w:r w:rsidR="00F818B7">
        <w:rPr>
          <w:b/>
          <w:bCs/>
        </w:rPr>
        <w:t xml:space="preserve">eference </w:t>
      </w:r>
      <w:r w:rsidR="00F90BD0">
        <w:rPr>
          <w:b/>
          <w:bCs/>
        </w:rPr>
        <w:t xml:space="preserve">authorization letters to the </w:t>
      </w:r>
      <w:r w:rsidR="00E86C1F">
        <w:rPr>
          <w:b/>
          <w:bCs/>
        </w:rPr>
        <w:t xml:space="preserve">companies </w:t>
      </w:r>
      <w:r w:rsidR="00545513">
        <w:rPr>
          <w:b/>
          <w:bCs/>
        </w:rPr>
        <w:t>being use</w:t>
      </w:r>
      <w:r w:rsidR="00F26F40">
        <w:rPr>
          <w:b/>
          <w:bCs/>
        </w:rPr>
        <w:t>d as references.</w:t>
      </w:r>
    </w:p>
    <w:p w14:paraId="6B4F8266" w14:textId="545ECBC1" w:rsidR="00900041" w:rsidRPr="00900041" w:rsidRDefault="00900041" w:rsidP="00900041">
      <w:pPr>
        <w:pStyle w:val="ListParagraph"/>
        <w:numPr>
          <w:ilvl w:val="0"/>
          <w:numId w:val="1"/>
        </w:numPr>
      </w:pPr>
      <w:r w:rsidRPr="00900041">
        <w:t>Of the approximately 1,500 initial claims processed each year, how many claims will be sent to the Vendor?</w:t>
      </w:r>
    </w:p>
    <w:p w14:paraId="61312ED8" w14:textId="138E5667" w:rsidR="00900041" w:rsidRPr="00C8247C" w:rsidRDefault="00900041" w:rsidP="00900041">
      <w:pPr>
        <w:ind w:left="720"/>
        <w:rPr>
          <w:b/>
          <w:bCs/>
        </w:rPr>
      </w:pPr>
      <w:r>
        <w:rPr>
          <w:b/>
          <w:bCs/>
        </w:rPr>
        <w:t>While the first three years saw up to 78 document review cases annually, Fiscal Year 2025 increased to 146 cases and Fiscal Year 2026 is trending even higher with 154 cases through the first ten months.</w:t>
      </w:r>
      <w:r w:rsidR="00DC4797">
        <w:rPr>
          <w:b/>
          <w:bCs/>
        </w:rPr>
        <w:t xml:space="preserve">  SERS anticipates the </w:t>
      </w:r>
      <w:r w:rsidR="00032622">
        <w:rPr>
          <w:b/>
          <w:bCs/>
        </w:rPr>
        <w:t>most recent trend to continue.</w:t>
      </w:r>
    </w:p>
    <w:p w14:paraId="36DEF414" w14:textId="77777777" w:rsidR="00900041" w:rsidRPr="00C8247C" w:rsidRDefault="00900041" w:rsidP="00900041">
      <w:pPr>
        <w:ind w:left="720"/>
        <w:rPr>
          <w:b/>
          <w:bCs/>
        </w:rPr>
      </w:pPr>
      <w:r w:rsidRPr="00C8247C">
        <w:rPr>
          <w:b/>
          <w:bCs/>
        </w:rPr>
        <w:t xml:space="preserve">Approximately 3-5 IME/IPE cases are referred for review </w:t>
      </w:r>
      <w:r>
        <w:rPr>
          <w:b/>
          <w:bCs/>
        </w:rPr>
        <w:t>annually</w:t>
      </w:r>
      <w:r w:rsidRPr="00C8247C">
        <w:rPr>
          <w:b/>
          <w:bCs/>
        </w:rPr>
        <w:t>.</w:t>
      </w:r>
    </w:p>
    <w:p w14:paraId="2246746A" w14:textId="77777777" w:rsidR="00900041" w:rsidRPr="00A666F6" w:rsidRDefault="00900041" w:rsidP="00900041">
      <w:pPr>
        <w:ind w:left="720"/>
      </w:pPr>
      <w:r w:rsidRPr="00C8247C">
        <w:rPr>
          <w:b/>
          <w:bCs/>
        </w:rPr>
        <w:t>No “expert testimony matters” have been requested during the current 5-year contract period</w:t>
      </w:r>
      <w:r>
        <w:rPr>
          <w:b/>
          <w:bCs/>
        </w:rPr>
        <w:t>.</w:t>
      </w:r>
    </w:p>
    <w:p w14:paraId="56E7A251" w14:textId="77777777" w:rsidR="00900041" w:rsidRDefault="00900041" w:rsidP="00900041">
      <w:pPr>
        <w:pStyle w:val="ListParagraph"/>
      </w:pPr>
    </w:p>
    <w:sectPr w:rsidR="00900041" w:rsidSect="000624D5">
      <w:headerReference w:type="default" r:id="rId8"/>
      <w:headerReference w:type="first" r:id="rId9"/>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6CCF" w14:textId="77777777" w:rsidR="003313E7" w:rsidRDefault="003313E7" w:rsidP="000624D5">
      <w:pPr>
        <w:spacing w:after="0" w:line="240" w:lineRule="auto"/>
      </w:pPr>
      <w:r>
        <w:separator/>
      </w:r>
    </w:p>
  </w:endnote>
  <w:endnote w:type="continuationSeparator" w:id="0">
    <w:p w14:paraId="6C054CD9" w14:textId="77777777" w:rsidR="003313E7" w:rsidRDefault="003313E7" w:rsidP="0006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82F8" w14:textId="77777777" w:rsidR="003313E7" w:rsidRDefault="003313E7" w:rsidP="000624D5">
      <w:pPr>
        <w:spacing w:after="0" w:line="240" w:lineRule="auto"/>
      </w:pPr>
      <w:r>
        <w:separator/>
      </w:r>
    </w:p>
  </w:footnote>
  <w:footnote w:type="continuationSeparator" w:id="0">
    <w:p w14:paraId="785A47D1" w14:textId="77777777" w:rsidR="003313E7" w:rsidRDefault="003313E7" w:rsidP="00062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F9EF" w14:textId="7AD9EC98" w:rsidR="000624D5" w:rsidRDefault="000624D5" w:rsidP="000624D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C854" w14:textId="77777777" w:rsidR="000624D5" w:rsidRDefault="000624D5" w:rsidP="000624D5">
    <w:pPr>
      <w:pStyle w:val="Header"/>
      <w:jc w:val="center"/>
      <w:rPr>
        <w:b/>
        <w:bCs/>
      </w:rPr>
    </w:pPr>
    <w:r w:rsidRPr="000624D5">
      <w:rPr>
        <w:b/>
        <w:bCs/>
      </w:rPr>
      <w:t>STATE EMPLOYEES’ RETIREMENT SYSTEM OF ILLINOIS</w:t>
    </w:r>
  </w:p>
  <w:p w14:paraId="04C6FECF" w14:textId="0E4CED2B" w:rsidR="000624D5" w:rsidRDefault="000624D5" w:rsidP="000624D5">
    <w:pPr>
      <w:pStyle w:val="Header"/>
      <w:tabs>
        <w:tab w:val="left" w:pos="375"/>
      </w:tabs>
      <w:jc w:val="center"/>
      <w:rPr>
        <w:b/>
        <w:bCs/>
      </w:rPr>
    </w:pPr>
    <w:r w:rsidRPr="000624D5">
      <w:rPr>
        <w:b/>
        <w:bCs/>
      </w:rPr>
      <w:t>Response to RFP-Related Questions</w:t>
    </w:r>
  </w:p>
  <w:p w14:paraId="6129F8D4" w14:textId="77777777" w:rsidR="000624D5" w:rsidRDefault="000624D5" w:rsidP="000624D5">
    <w:pPr>
      <w:pStyle w:val="Header"/>
      <w:jc w:val="center"/>
      <w:rPr>
        <w:b/>
        <w:bCs/>
      </w:rPr>
    </w:pPr>
    <w:r>
      <w:rPr>
        <w:b/>
        <w:bCs/>
      </w:rPr>
      <w:t>Medical and Psychiatric Review Services</w:t>
    </w:r>
  </w:p>
  <w:p w14:paraId="100C4868" w14:textId="223BCE9C" w:rsidR="000624D5" w:rsidRDefault="000624D5" w:rsidP="000624D5">
    <w:pPr>
      <w:pStyle w:val="Header"/>
      <w:jc w:val="center"/>
    </w:pPr>
    <w:r w:rsidRPr="000624D5">
      <w:t>System Reference # 2</w:t>
    </w:r>
    <w:r>
      <w:t>6002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6B17"/>
    <w:multiLevelType w:val="multilevel"/>
    <w:tmpl w:val="618A5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A422BCC"/>
    <w:multiLevelType w:val="multilevel"/>
    <w:tmpl w:val="DB2CE2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4243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344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619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F6"/>
    <w:rsid w:val="0000625C"/>
    <w:rsid w:val="00020452"/>
    <w:rsid w:val="00032622"/>
    <w:rsid w:val="00042737"/>
    <w:rsid w:val="000624D5"/>
    <w:rsid w:val="000629D8"/>
    <w:rsid w:val="000A2E87"/>
    <w:rsid w:val="000F4DE0"/>
    <w:rsid w:val="00106D39"/>
    <w:rsid w:val="00114DF1"/>
    <w:rsid w:val="00116AAF"/>
    <w:rsid w:val="001827AE"/>
    <w:rsid w:val="0019107A"/>
    <w:rsid w:val="001F599C"/>
    <w:rsid w:val="00224EC8"/>
    <w:rsid w:val="00247C7C"/>
    <w:rsid w:val="002538D3"/>
    <w:rsid w:val="00261377"/>
    <w:rsid w:val="00270C3A"/>
    <w:rsid w:val="00281A74"/>
    <w:rsid w:val="002834DC"/>
    <w:rsid w:val="002A462F"/>
    <w:rsid w:val="002C0B12"/>
    <w:rsid w:val="003313E7"/>
    <w:rsid w:val="00387CB2"/>
    <w:rsid w:val="00397830"/>
    <w:rsid w:val="003A0348"/>
    <w:rsid w:val="003A06B6"/>
    <w:rsid w:val="003C201E"/>
    <w:rsid w:val="00420770"/>
    <w:rsid w:val="00437D52"/>
    <w:rsid w:val="00481A53"/>
    <w:rsid w:val="004C06FC"/>
    <w:rsid w:val="004C467D"/>
    <w:rsid w:val="004E7C72"/>
    <w:rsid w:val="005054D0"/>
    <w:rsid w:val="00545513"/>
    <w:rsid w:val="00565865"/>
    <w:rsid w:val="0061542A"/>
    <w:rsid w:val="006549F4"/>
    <w:rsid w:val="006B5323"/>
    <w:rsid w:val="006C47B8"/>
    <w:rsid w:val="00745B3C"/>
    <w:rsid w:val="007555C3"/>
    <w:rsid w:val="00775199"/>
    <w:rsid w:val="00780EFC"/>
    <w:rsid w:val="00783984"/>
    <w:rsid w:val="007A1FF0"/>
    <w:rsid w:val="007B1B4B"/>
    <w:rsid w:val="007D64DE"/>
    <w:rsid w:val="007D76CF"/>
    <w:rsid w:val="0081253F"/>
    <w:rsid w:val="00817273"/>
    <w:rsid w:val="008217F7"/>
    <w:rsid w:val="008964B2"/>
    <w:rsid w:val="008B0E59"/>
    <w:rsid w:val="008B5FDB"/>
    <w:rsid w:val="00900041"/>
    <w:rsid w:val="00934A2E"/>
    <w:rsid w:val="009C2C09"/>
    <w:rsid w:val="009D78FF"/>
    <w:rsid w:val="009E4A5D"/>
    <w:rsid w:val="00A04B6E"/>
    <w:rsid w:val="00A131B6"/>
    <w:rsid w:val="00A45183"/>
    <w:rsid w:val="00A5462A"/>
    <w:rsid w:val="00A57069"/>
    <w:rsid w:val="00A666F6"/>
    <w:rsid w:val="00A9326F"/>
    <w:rsid w:val="00AD7F2B"/>
    <w:rsid w:val="00B06C39"/>
    <w:rsid w:val="00B075C4"/>
    <w:rsid w:val="00B127F6"/>
    <w:rsid w:val="00B13BEF"/>
    <w:rsid w:val="00B46413"/>
    <w:rsid w:val="00BC1100"/>
    <w:rsid w:val="00BC1A99"/>
    <w:rsid w:val="00BE4FDF"/>
    <w:rsid w:val="00C77731"/>
    <w:rsid w:val="00C8247C"/>
    <w:rsid w:val="00C904D4"/>
    <w:rsid w:val="00CA27B2"/>
    <w:rsid w:val="00CA72D8"/>
    <w:rsid w:val="00D27202"/>
    <w:rsid w:val="00DC4797"/>
    <w:rsid w:val="00E51262"/>
    <w:rsid w:val="00E578DF"/>
    <w:rsid w:val="00E6550D"/>
    <w:rsid w:val="00E736B6"/>
    <w:rsid w:val="00E86C1F"/>
    <w:rsid w:val="00EA4886"/>
    <w:rsid w:val="00EB3B46"/>
    <w:rsid w:val="00EB4153"/>
    <w:rsid w:val="00EE0F3D"/>
    <w:rsid w:val="00F26F40"/>
    <w:rsid w:val="00F30054"/>
    <w:rsid w:val="00F33BC1"/>
    <w:rsid w:val="00F42A10"/>
    <w:rsid w:val="00F65E97"/>
    <w:rsid w:val="00F72E6E"/>
    <w:rsid w:val="00F74065"/>
    <w:rsid w:val="00F818B7"/>
    <w:rsid w:val="00F90BD0"/>
    <w:rsid w:val="00FB133B"/>
    <w:rsid w:val="00FE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26B85"/>
  <w15:chartTrackingRefBased/>
  <w15:docId w15:val="{A4462F96-8252-482A-96FC-02C88394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1"/>
  </w:style>
  <w:style w:type="paragraph" w:styleId="Heading1">
    <w:name w:val="heading 1"/>
    <w:basedOn w:val="Normal"/>
    <w:next w:val="Normal"/>
    <w:link w:val="Heading1Char"/>
    <w:uiPriority w:val="9"/>
    <w:qFormat/>
    <w:rsid w:val="00A66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6F6"/>
    <w:rPr>
      <w:rFonts w:eastAsiaTheme="majorEastAsia" w:cstheme="majorBidi"/>
      <w:color w:val="272727" w:themeColor="text1" w:themeTint="D8"/>
    </w:rPr>
  </w:style>
  <w:style w:type="paragraph" w:styleId="Title">
    <w:name w:val="Title"/>
    <w:basedOn w:val="Normal"/>
    <w:next w:val="Normal"/>
    <w:link w:val="TitleChar"/>
    <w:uiPriority w:val="10"/>
    <w:qFormat/>
    <w:rsid w:val="00A66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6F6"/>
    <w:pPr>
      <w:spacing w:before="160"/>
      <w:jc w:val="center"/>
    </w:pPr>
    <w:rPr>
      <w:i/>
      <w:iCs/>
      <w:color w:val="404040" w:themeColor="text1" w:themeTint="BF"/>
    </w:rPr>
  </w:style>
  <w:style w:type="character" w:customStyle="1" w:styleId="QuoteChar">
    <w:name w:val="Quote Char"/>
    <w:basedOn w:val="DefaultParagraphFont"/>
    <w:link w:val="Quote"/>
    <w:uiPriority w:val="29"/>
    <w:rsid w:val="00A666F6"/>
    <w:rPr>
      <w:i/>
      <w:iCs/>
      <w:color w:val="404040" w:themeColor="text1" w:themeTint="BF"/>
    </w:rPr>
  </w:style>
  <w:style w:type="paragraph" w:styleId="ListParagraph">
    <w:name w:val="List Paragraph"/>
    <w:basedOn w:val="Normal"/>
    <w:uiPriority w:val="34"/>
    <w:qFormat/>
    <w:rsid w:val="00A666F6"/>
    <w:pPr>
      <w:ind w:left="720"/>
      <w:contextualSpacing/>
    </w:pPr>
  </w:style>
  <w:style w:type="character" w:styleId="IntenseEmphasis">
    <w:name w:val="Intense Emphasis"/>
    <w:basedOn w:val="DefaultParagraphFont"/>
    <w:uiPriority w:val="21"/>
    <w:qFormat/>
    <w:rsid w:val="00A666F6"/>
    <w:rPr>
      <w:i/>
      <w:iCs/>
      <w:color w:val="0F4761" w:themeColor="accent1" w:themeShade="BF"/>
    </w:rPr>
  </w:style>
  <w:style w:type="paragraph" w:styleId="IntenseQuote">
    <w:name w:val="Intense Quote"/>
    <w:basedOn w:val="Normal"/>
    <w:next w:val="Normal"/>
    <w:link w:val="IntenseQuoteChar"/>
    <w:uiPriority w:val="30"/>
    <w:qFormat/>
    <w:rsid w:val="00A6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6F6"/>
    <w:rPr>
      <w:i/>
      <w:iCs/>
      <w:color w:val="0F4761" w:themeColor="accent1" w:themeShade="BF"/>
    </w:rPr>
  </w:style>
  <w:style w:type="character" w:styleId="IntenseReference">
    <w:name w:val="Intense Reference"/>
    <w:basedOn w:val="DefaultParagraphFont"/>
    <w:uiPriority w:val="32"/>
    <w:qFormat/>
    <w:rsid w:val="00A666F6"/>
    <w:rPr>
      <w:b/>
      <w:bCs/>
      <w:smallCaps/>
      <w:color w:val="0F4761" w:themeColor="accent1" w:themeShade="BF"/>
      <w:spacing w:val="5"/>
    </w:rPr>
  </w:style>
  <w:style w:type="character" w:styleId="Hyperlink">
    <w:name w:val="Hyperlink"/>
    <w:basedOn w:val="DefaultParagraphFont"/>
    <w:uiPriority w:val="99"/>
    <w:unhideWhenUsed/>
    <w:rsid w:val="008964B2"/>
    <w:rPr>
      <w:color w:val="467886" w:themeColor="hyperlink"/>
      <w:u w:val="single"/>
    </w:rPr>
  </w:style>
  <w:style w:type="character" w:styleId="UnresolvedMention">
    <w:name w:val="Unresolved Mention"/>
    <w:basedOn w:val="DefaultParagraphFont"/>
    <w:uiPriority w:val="99"/>
    <w:semiHidden/>
    <w:unhideWhenUsed/>
    <w:rsid w:val="008964B2"/>
    <w:rPr>
      <w:color w:val="605E5C"/>
      <w:shd w:val="clear" w:color="auto" w:fill="E1DFDD"/>
    </w:rPr>
  </w:style>
  <w:style w:type="paragraph" w:styleId="Header">
    <w:name w:val="header"/>
    <w:basedOn w:val="Normal"/>
    <w:link w:val="HeaderChar"/>
    <w:uiPriority w:val="99"/>
    <w:unhideWhenUsed/>
    <w:rsid w:val="00062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4D5"/>
  </w:style>
  <w:style w:type="paragraph" w:styleId="Footer">
    <w:name w:val="footer"/>
    <w:basedOn w:val="Normal"/>
    <w:link w:val="FooterChar"/>
    <w:uiPriority w:val="99"/>
    <w:unhideWhenUsed/>
    <w:rsid w:val="00062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srs.illinois.gov/sers/contact/fo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Houch</dc:creator>
  <cp:keywords/>
  <dc:description/>
  <cp:lastModifiedBy>Robert Cooper</cp:lastModifiedBy>
  <cp:revision>3</cp:revision>
  <dcterms:created xsi:type="dcterms:W3CDTF">2026-05-20T13:16:00Z</dcterms:created>
  <dcterms:modified xsi:type="dcterms:W3CDTF">2026-05-20T14:22:00Z</dcterms:modified>
</cp:coreProperties>
</file>